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1D" w:rsidRDefault="00B7461D" w:rsidP="00B7461D">
      <w:pPr>
        <w:ind w:left="360" w:right="-185"/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B7461D" w:rsidRPr="00844762" w:rsidRDefault="00B7461D" w:rsidP="004650FE">
      <w:pPr>
        <w:numPr>
          <w:ilvl w:val="0"/>
          <w:numId w:val="5"/>
        </w:numPr>
        <w:tabs>
          <w:tab w:val="clear" w:pos="720"/>
          <w:tab w:val="num" w:pos="360"/>
        </w:tabs>
        <w:spacing w:after="240"/>
        <w:ind w:left="360" w:right="-18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An exceptional monsoonal rain event affected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during the last week of February and the first week of March.  The Bureau of Meteorology estimates that 403 cubic kilometres of rain fell across the 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Northern Territory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4561E2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Pr="00844762">
        <w:rPr>
          <w:rFonts w:ascii="Arial" w:hAnsi="Arial" w:cs="Arial"/>
          <w:bCs/>
          <w:spacing w:val="-3"/>
          <w:sz w:val="22"/>
          <w:szCs w:val="22"/>
        </w:rPr>
        <w:t>This came on top of two earlier rainfall events over the previous three months.  As a result, extensive reaches of South West Queensland experienced the</w:t>
      </w:r>
      <w:r>
        <w:rPr>
          <w:rFonts w:ascii="Arial" w:hAnsi="Arial" w:cs="Arial"/>
          <w:bCs/>
          <w:spacing w:val="-3"/>
          <w:sz w:val="22"/>
          <w:szCs w:val="22"/>
        </w:rPr>
        <w:t>ir</w:t>
      </w:r>
      <w:r w:rsidRPr="00844762">
        <w:rPr>
          <w:rFonts w:ascii="Arial" w:hAnsi="Arial" w:cs="Arial"/>
          <w:bCs/>
          <w:spacing w:val="-3"/>
          <w:sz w:val="22"/>
          <w:szCs w:val="22"/>
        </w:rPr>
        <w:t xml:space="preserve"> worst flooding in living memory.</w:t>
      </w:r>
    </w:p>
    <w:p w:rsidR="00B7461D" w:rsidRPr="00556389" w:rsidRDefault="00B7461D" w:rsidP="004650FE">
      <w:pPr>
        <w:numPr>
          <w:ilvl w:val="0"/>
          <w:numId w:val="5"/>
        </w:numPr>
        <w:tabs>
          <w:tab w:val="clear" w:pos="720"/>
          <w:tab w:val="num" w:pos="360"/>
        </w:tabs>
        <w:spacing w:after="240"/>
        <w:ind w:left="360" w:right="-18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44762">
        <w:rPr>
          <w:rFonts w:ascii="Arial" w:hAnsi="Arial" w:cs="Arial"/>
          <w:sz w:val="22"/>
          <w:szCs w:val="22"/>
        </w:rPr>
        <w:t>An appreciable number of residents suffered loss of property and personal effects, and there has been an immediate impact upon social, physical and</w:t>
      </w:r>
      <w:r>
        <w:rPr>
          <w:rFonts w:ascii="Arial" w:hAnsi="Arial" w:cs="Arial"/>
          <w:sz w:val="22"/>
          <w:szCs w:val="22"/>
        </w:rPr>
        <w:t xml:space="preserve"> emotional needs.  More than 2470</w:t>
      </w:r>
      <w:r w:rsidRPr="00844762">
        <w:rPr>
          <w:rFonts w:ascii="Arial" w:hAnsi="Arial" w:cs="Arial"/>
          <w:sz w:val="22"/>
          <w:szCs w:val="22"/>
        </w:rPr>
        <w:t xml:space="preserve"> residents</w:t>
      </w:r>
      <w:r w:rsidRPr="004B7861">
        <w:rPr>
          <w:rFonts w:ascii="Arial" w:hAnsi="Arial" w:cs="Arial"/>
          <w:sz w:val="22"/>
          <w:szCs w:val="22"/>
        </w:rPr>
        <w:t xml:space="preserve"> have received financial assistance, </w:t>
      </w:r>
      <w:r w:rsidR="004650FE">
        <w:rPr>
          <w:rFonts w:ascii="Arial" w:hAnsi="Arial" w:cs="Arial"/>
          <w:sz w:val="22"/>
          <w:szCs w:val="22"/>
        </w:rPr>
        <w:t>with</w:t>
      </w:r>
      <w:r w:rsidR="004650FE" w:rsidRPr="004B7861">
        <w:rPr>
          <w:rFonts w:ascii="Arial" w:hAnsi="Arial" w:cs="Arial"/>
          <w:sz w:val="22"/>
          <w:szCs w:val="22"/>
        </w:rPr>
        <w:t xml:space="preserve"> </w:t>
      </w:r>
      <w:r w:rsidRPr="004B7861">
        <w:rPr>
          <w:rFonts w:ascii="Arial" w:hAnsi="Arial" w:cs="Arial"/>
          <w:sz w:val="22"/>
          <w:szCs w:val="22"/>
        </w:rPr>
        <w:t>couns</w:t>
      </w:r>
      <w:r>
        <w:rPr>
          <w:rFonts w:ascii="Arial" w:hAnsi="Arial" w:cs="Arial"/>
          <w:sz w:val="22"/>
          <w:szCs w:val="22"/>
        </w:rPr>
        <w:t xml:space="preserve">elling </w:t>
      </w:r>
      <w:r w:rsidR="004650FE">
        <w:rPr>
          <w:rFonts w:ascii="Arial" w:hAnsi="Arial" w:cs="Arial"/>
          <w:sz w:val="22"/>
          <w:szCs w:val="22"/>
        </w:rPr>
        <w:t xml:space="preserve">made </w:t>
      </w:r>
      <w:r>
        <w:rPr>
          <w:rFonts w:ascii="Arial" w:hAnsi="Arial" w:cs="Arial"/>
          <w:sz w:val="22"/>
          <w:szCs w:val="22"/>
        </w:rPr>
        <w:t>available.  Over 550</w:t>
      </w:r>
      <w:r w:rsidRPr="004B7861">
        <w:rPr>
          <w:rFonts w:ascii="Arial" w:hAnsi="Arial" w:cs="Arial"/>
          <w:sz w:val="22"/>
          <w:szCs w:val="22"/>
        </w:rPr>
        <w:t xml:space="preserve"> dwellings h</w:t>
      </w:r>
      <w:r>
        <w:rPr>
          <w:rFonts w:ascii="Arial" w:hAnsi="Arial" w:cs="Arial"/>
          <w:sz w:val="22"/>
          <w:szCs w:val="22"/>
        </w:rPr>
        <w:t>ave been damaged.</w:t>
      </w:r>
      <w:r w:rsidRPr="004B7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The Queensland Government set up a Reconstruction Taskforce to drive the repair program. </w:t>
      </w:r>
    </w:p>
    <w:p w:rsidR="00B7461D" w:rsidRPr="00B15634" w:rsidRDefault="00B7461D" w:rsidP="004650FE">
      <w:pPr>
        <w:numPr>
          <w:ilvl w:val="0"/>
          <w:numId w:val="5"/>
        </w:numPr>
        <w:tabs>
          <w:tab w:val="clear" w:pos="720"/>
          <w:tab w:val="num" w:pos="360"/>
        </w:tabs>
        <w:spacing w:after="240"/>
        <w:ind w:left="360" w:right="-18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roads and railways</w:t>
      </w:r>
      <w:r w:rsidRPr="004B7861">
        <w:rPr>
          <w:rFonts w:ascii="Arial" w:hAnsi="Arial" w:cs="Arial"/>
          <w:sz w:val="22"/>
          <w:szCs w:val="22"/>
        </w:rPr>
        <w:t xml:space="preserve"> suffered widespread damage</w:t>
      </w:r>
      <w:r>
        <w:rPr>
          <w:rFonts w:ascii="Arial" w:hAnsi="Arial" w:cs="Arial"/>
          <w:sz w:val="22"/>
          <w:szCs w:val="22"/>
        </w:rPr>
        <w:t>, t</w:t>
      </w:r>
      <w:r w:rsidRPr="004B7861">
        <w:rPr>
          <w:rFonts w:ascii="Arial" w:hAnsi="Arial" w:cs="Arial"/>
          <w:sz w:val="22"/>
          <w:szCs w:val="22"/>
        </w:rPr>
        <w:t xml:space="preserve">he rain is expected to provide a </w:t>
      </w:r>
      <w:r w:rsidRPr="00B15634">
        <w:rPr>
          <w:rFonts w:ascii="Arial" w:hAnsi="Arial" w:cs="Arial"/>
          <w:sz w:val="22"/>
          <w:szCs w:val="22"/>
        </w:rPr>
        <w:t xml:space="preserve">substantial boost to the agricultural sector and, as a consequence, other local businesses that have been impacted by the long running drought.  </w:t>
      </w:r>
    </w:p>
    <w:p w:rsidR="00B7461D" w:rsidRPr="00B15634" w:rsidRDefault="00B7461D" w:rsidP="004650FE">
      <w:pPr>
        <w:numPr>
          <w:ilvl w:val="0"/>
          <w:numId w:val="5"/>
        </w:numPr>
        <w:tabs>
          <w:tab w:val="clear" w:pos="720"/>
          <w:tab w:val="num" w:pos="360"/>
        </w:tabs>
        <w:spacing w:after="240"/>
        <w:ind w:left="360" w:right="-18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15634">
        <w:rPr>
          <w:rFonts w:ascii="Arial" w:hAnsi="Arial" w:cs="Arial"/>
          <w:sz w:val="22"/>
          <w:szCs w:val="22"/>
        </w:rPr>
        <w:t xml:space="preserve">Early on the morning of Sunday 21 March 2010, Category 3 Tropical Cyclone ULUI made landfall in the vicinity of </w:t>
      </w:r>
      <w:smartTag w:uri="urn:schemas-microsoft-com:office:smarttags" w:element="place">
        <w:smartTag w:uri="urn:schemas-microsoft-com:office:smarttags" w:element="PlaceName">
          <w:r w:rsidRPr="00B15634">
            <w:rPr>
              <w:rFonts w:ascii="Arial" w:hAnsi="Arial" w:cs="Arial"/>
              <w:sz w:val="22"/>
              <w:szCs w:val="22"/>
            </w:rPr>
            <w:t>Airlie</w:t>
          </w:r>
        </w:smartTag>
        <w:r w:rsidRPr="00B156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15634">
            <w:rPr>
              <w:rFonts w:ascii="Arial" w:hAnsi="Arial" w:cs="Arial"/>
              <w:sz w:val="22"/>
              <w:szCs w:val="22"/>
            </w:rPr>
            <w:t>Beach</w:t>
          </w:r>
        </w:smartTag>
      </w:smartTag>
      <w:r w:rsidRPr="00B15634">
        <w:rPr>
          <w:rFonts w:ascii="Arial" w:hAnsi="Arial" w:cs="Arial"/>
          <w:sz w:val="22"/>
          <w:szCs w:val="22"/>
        </w:rPr>
        <w:t>.  Warnings had been issued over the preceding days, and communities from Townsville to Mackay had had ample time to prepare themselves.  To aid preparations, a disaster situation was declared the day before ULUI came ashore.</w:t>
      </w:r>
    </w:p>
    <w:p w:rsidR="00B7461D" w:rsidRPr="00D9520C" w:rsidRDefault="00B7461D" w:rsidP="004650FE">
      <w:pPr>
        <w:numPr>
          <w:ilvl w:val="0"/>
          <w:numId w:val="5"/>
        </w:numPr>
        <w:tabs>
          <w:tab w:val="clear" w:pos="720"/>
          <w:tab w:val="num" w:pos="360"/>
        </w:tabs>
        <w:spacing w:after="240"/>
        <w:ind w:left="360" w:right="-18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15634">
        <w:rPr>
          <w:rFonts w:ascii="Arial" w:hAnsi="Arial" w:cs="Arial"/>
          <w:sz w:val="22"/>
          <w:szCs w:val="22"/>
        </w:rPr>
        <w:t xml:space="preserve">The worst impact was sustained loss of power to significant parts of the community.  Over </w:t>
      </w:r>
      <w:r w:rsidR="0032590E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>,500</w:t>
      </w:r>
      <w:r w:rsidRPr="00B15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consumers</w:t>
      </w:r>
      <w:r w:rsidRPr="00B15634">
        <w:rPr>
          <w:rFonts w:ascii="Arial" w:hAnsi="Arial" w:cs="Arial"/>
          <w:sz w:val="22"/>
          <w:szCs w:val="22"/>
        </w:rPr>
        <w:t xml:space="preserve"> initially lost electric power and, after 5 days, 2400 customers were still without mains electricity. </w:t>
      </w:r>
      <w:r w:rsidRPr="00D9520C">
        <w:rPr>
          <w:rFonts w:ascii="Arial" w:hAnsi="Arial" w:cs="Arial"/>
          <w:sz w:val="22"/>
          <w:szCs w:val="22"/>
        </w:rPr>
        <w:t xml:space="preserve">Damage to private dwellings </w:t>
      </w:r>
      <w:r w:rsidR="004650FE">
        <w:rPr>
          <w:rFonts w:ascii="Arial" w:hAnsi="Arial" w:cs="Arial"/>
          <w:sz w:val="22"/>
          <w:szCs w:val="22"/>
        </w:rPr>
        <w:t>was</w:t>
      </w:r>
      <w:r w:rsidRPr="00D9520C">
        <w:rPr>
          <w:rFonts w:ascii="Arial" w:hAnsi="Arial" w:cs="Arial"/>
          <w:sz w:val="22"/>
          <w:szCs w:val="22"/>
        </w:rPr>
        <w:t xml:space="preserve"> relatively minor. Major port infrastructure at Mackay and Hay Point suffered some damage. </w:t>
      </w:r>
    </w:p>
    <w:p w:rsidR="00B7461D" w:rsidRPr="00D9520C" w:rsidRDefault="00B7461D" w:rsidP="004650FE">
      <w:pPr>
        <w:numPr>
          <w:ilvl w:val="0"/>
          <w:numId w:val="5"/>
        </w:numPr>
        <w:tabs>
          <w:tab w:val="clear" w:pos="720"/>
          <w:tab w:val="num" w:pos="360"/>
        </w:tabs>
        <w:spacing w:after="240"/>
        <w:ind w:left="360" w:right="-18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9520C">
        <w:rPr>
          <w:rFonts w:ascii="Arial" w:hAnsi="Arial" w:cs="Arial"/>
          <w:sz w:val="22"/>
          <w:szCs w:val="22"/>
        </w:rPr>
        <w:t xml:space="preserve">Most tourism operations have returned to normal, though adverse media coverage has led to short-term cancellations.  There will be some impacts to the sugar cane and vegetable industries.  The fishing fleet </w:t>
      </w:r>
      <w:r w:rsidR="004561E2">
        <w:rPr>
          <w:rFonts w:ascii="Arial" w:hAnsi="Arial" w:cs="Arial"/>
          <w:sz w:val="22"/>
          <w:szCs w:val="22"/>
        </w:rPr>
        <w:t>was</w:t>
      </w:r>
      <w:r w:rsidRPr="00D9520C">
        <w:rPr>
          <w:rFonts w:ascii="Arial" w:hAnsi="Arial" w:cs="Arial"/>
          <w:sz w:val="22"/>
          <w:szCs w:val="22"/>
        </w:rPr>
        <w:t xml:space="preserve"> not damaged.  No State Government building suffered major structural damage.  </w:t>
      </w:r>
    </w:p>
    <w:p w:rsidR="004561E2" w:rsidRPr="00CE34D2" w:rsidRDefault="004561E2" w:rsidP="00756374">
      <w:pPr>
        <w:numPr>
          <w:ilvl w:val="0"/>
          <w:numId w:val="5"/>
        </w:numPr>
        <w:tabs>
          <w:tab w:val="clear" w:pos="720"/>
          <w:tab w:val="num" w:pos="360"/>
        </w:tabs>
        <w:spacing w:after="360"/>
        <w:ind w:left="360" w:right="-5"/>
        <w:jc w:val="both"/>
        <w:rPr>
          <w:rFonts w:ascii="Arial" w:hAnsi="Arial" w:cs="Arial"/>
          <w:sz w:val="22"/>
          <w:szCs w:val="22"/>
        </w:rPr>
      </w:pPr>
      <w:r w:rsidRPr="006E1E28">
        <w:rPr>
          <w:rFonts w:ascii="Arial" w:hAnsi="Arial" w:cs="Arial"/>
          <w:color w:val="auto"/>
          <w:sz w:val="22"/>
          <w:szCs w:val="22"/>
          <w:u w:val="single"/>
        </w:rPr>
        <w:t>Cabinet noted</w:t>
      </w:r>
      <w:r w:rsidRPr="00756374">
        <w:rPr>
          <w:rFonts w:ascii="Arial" w:hAnsi="Arial" w:cs="Arial"/>
          <w:color w:val="auto"/>
          <w:sz w:val="22"/>
          <w:szCs w:val="22"/>
        </w:rPr>
        <w:t xml:space="preserve"> </w:t>
      </w:r>
      <w:r w:rsidRPr="004561E2">
        <w:rPr>
          <w:rFonts w:ascii="Arial" w:hAnsi="Arial" w:cs="Arial"/>
          <w:color w:val="auto"/>
          <w:sz w:val="22"/>
          <w:szCs w:val="22"/>
        </w:rPr>
        <w:t>the impacts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20930">
        <w:rPr>
          <w:rFonts w:ascii="Arial" w:hAnsi="Arial" w:cs="Arial"/>
          <w:color w:val="auto"/>
          <w:sz w:val="22"/>
          <w:szCs w:val="22"/>
        </w:rPr>
        <w:t>on</w:t>
      </w:r>
      <w:r w:rsidRPr="004561E2">
        <w:rPr>
          <w:rFonts w:ascii="Arial" w:hAnsi="Arial" w:cs="Arial"/>
          <w:color w:val="auto"/>
          <w:sz w:val="22"/>
          <w:szCs w:val="22"/>
        </w:rPr>
        <w:t xml:space="preserve"> residents, industry and infrastructure, and government activity to address these impacts.</w:t>
      </w:r>
    </w:p>
    <w:p w:rsidR="00CE34D2" w:rsidRPr="00CE34D2" w:rsidRDefault="00CE34D2" w:rsidP="00756374">
      <w:pPr>
        <w:numPr>
          <w:ilvl w:val="0"/>
          <w:numId w:val="5"/>
        </w:numPr>
        <w:tabs>
          <w:tab w:val="clear" w:pos="720"/>
          <w:tab w:val="num" w:pos="360"/>
        </w:tabs>
        <w:spacing w:before="240" w:after="120"/>
        <w:ind w:left="360" w:right="-5"/>
        <w:jc w:val="both"/>
        <w:rPr>
          <w:rFonts w:ascii="Arial" w:hAnsi="Arial" w:cs="Arial"/>
          <w:sz w:val="22"/>
          <w:szCs w:val="22"/>
        </w:rPr>
      </w:pPr>
      <w:r w:rsidRPr="00756374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:rsidR="00CE34D2" w:rsidRPr="004561E2" w:rsidRDefault="00CE34D2" w:rsidP="00CE34D2">
      <w:pPr>
        <w:numPr>
          <w:ilvl w:val="0"/>
          <w:numId w:val="21"/>
        </w:numPr>
        <w:spacing w:after="240"/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:rsidR="004561E2" w:rsidRPr="004561E2" w:rsidRDefault="004561E2" w:rsidP="004650FE">
      <w:pPr>
        <w:spacing w:after="240"/>
        <w:ind w:right="-185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B7461D" w:rsidRPr="00B15634" w:rsidRDefault="00B7461D" w:rsidP="00B7461D">
      <w:pPr>
        <w:ind w:right="-185"/>
        <w:rPr>
          <w:rFonts w:ascii="Arial" w:hAnsi="Arial" w:cs="Arial"/>
          <w:sz w:val="22"/>
          <w:szCs w:val="22"/>
        </w:rPr>
      </w:pPr>
    </w:p>
    <w:sectPr w:rsidR="00B7461D" w:rsidRPr="00B15634" w:rsidSect="004650FE">
      <w:headerReference w:type="default" r:id="rId7"/>
      <w:footerReference w:type="default" r:id="rId8"/>
      <w:headerReference w:type="first" r:id="rId9"/>
      <w:pgSz w:w="11907" w:h="16840" w:code="9"/>
      <w:pgMar w:top="1418" w:right="1647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A9" w:rsidRDefault="00C309A9">
      <w:r>
        <w:separator/>
      </w:r>
    </w:p>
  </w:endnote>
  <w:endnote w:type="continuationSeparator" w:id="0">
    <w:p w:rsidR="00C309A9" w:rsidRDefault="00C3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1D" w:rsidRPr="001141E1" w:rsidRDefault="00B7461D" w:rsidP="00B7461D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A9" w:rsidRDefault="00C309A9">
      <w:r>
        <w:separator/>
      </w:r>
    </w:p>
  </w:footnote>
  <w:footnote w:type="continuationSeparator" w:id="0">
    <w:p w:rsidR="00C309A9" w:rsidRDefault="00C3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1D" w:rsidRPr="000400F9" w:rsidRDefault="003F3732" w:rsidP="00B7461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61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7461D">
      <w:rPr>
        <w:rFonts w:ascii="Arial" w:hAnsi="Arial" w:cs="Arial"/>
        <w:b/>
        <w:sz w:val="22"/>
        <w:szCs w:val="22"/>
        <w:u w:val="single"/>
      </w:rPr>
      <w:t>month year</w:t>
    </w:r>
  </w:p>
  <w:p w:rsidR="00B7461D" w:rsidRDefault="00B7461D" w:rsidP="00B746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7461D" w:rsidRDefault="00B7461D" w:rsidP="00B746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7461D" w:rsidRPr="00F10DF9" w:rsidRDefault="00B7461D" w:rsidP="00B7461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1D" w:rsidRPr="000400F9" w:rsidRDefault="003F3732" w:rsidP="00B7461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61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7461D">
      <w:rPr>
        <w:rFonts w:ascii="Arial" w:hAnsi="Arial" w:cs="Arial"/>
        <w:b/>
        <w:sz w:val="22"/>
        <w:szCs w:val="22"/>
        <w:u w:val="single"/>
      </w:rPr>
      <w:t>April 2010</w:t>
    </w:r>
  </w:p>
  <w:p w:rsidR="00B7461D" w:rsidRDefault="00B7461D" w:rsidP="00B746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The March 2010 Floods in South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West Queensland</w:t>
      </w:r>
    </w:smartTag>
    <w:r w:rsidR="004650FE">
      <w:rPr>
        <w:rFonts w:ascii="Arial" w:hAnsi="Arial" w:cs="Arial"/>
        <w:b/>
        <w:sz w:val="22"/>
        <w:szCs w:val="22"/>
        <w:u w:val="single"/>
      </w:rPr>
      <w:t xml:space="preserve"> and Severe Tropical Cyclone Ului</w:t>
    </w:r>
  </w:p>
  <w:p w:rsidR="00B7461D" w:rsidRDefault="00B7461D" w:rsidP="00B746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B7461D" w:rsidRPr="00F10DF9" w:rsidRDefault="00B7461D" w:rsidP="00B7461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5F5"/>
    <w:multiLevelType w:val="hybridMultilevel"/>
    <w:tmpl w:val="C21E8A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7648B"/>
    <w:multiLevelType w:val="hybridMultilevel"/>
    <w:tmpl w:val="FA5E98BC"/>
    <w:lvl w:ilvl="0" w:tplc="24B48D4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sz w:val="20"/>
        <w:szCs w:val="2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F79F0"/>
    <w:multiLevelType w:val="multilevel"/>
    <w:tmpl w:val="7274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5A7CA6"/>
    <w:multiLevelType w:val="hybridMultilevel"/>
    <w:tmpl w:val="91DC14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69F3"/>
    <w:multiLevelType w:val="hybridMultilevel"/>
    <w:tmpl w:val="BA40D548"/>
    <w:lvl w:ilvl="0" w:tplc="F4561B50">
      <w:start w:val="1"/>
      <w:numFmt w:val="bullet"/>
      <w:lvlText w:val=""/>
      <w:lvlJc w:val="left"/>
      <w:pPr>
        <w:tabs>
          <w:tab w:val="num" w:pos="1568"/>
        </w:tabs>
        <w:ind w:left="156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C144422"/>
    <w:multiLevelType w:val="multilevel"/>
    <w:tmpl w:val="7274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B2BCB"/>
    <w:multiLevelType w:val="multilevel"/>
    <w:tmpl w:val="7274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215E2F"/>
    <w:multiLevelType w:val="hybridMultilevel"/>
    <w:tmpl w:val="0046E5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65716"/>
    <w:multiLevelType w:val="hybridMultilevel"/>
    <w:tmpl w:val="844A8E90"/>
    <w:lvl w:ilvl="0" w:tplc="F4561B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531773A5"/>
    <w:multiLevelType w:val="hybridMultilevel"/>
    <w:tmpl w:val="90905C28"/>
    <w:lvl w:ilvl="0" w:tplc="85FC9E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4561B50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1C5496"/>
    <w:multiLevelType w:val="multilevel"/>
    <w:tmpl w:val="7274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9F5A5F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DA2FF4"/>
    <w:multiLevelType w:val="hybridMultilevel"/>
    <w:tmpl w:val="F63E3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01B0A"/>
    <w:multiLevelType w:val="hybridMultilevel"/>
    <w:tmpl w:val="0BE25F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75BE4382"/>
    <w:multiLevelType w:val="hybridMultilevel"/>
    <w:tmpl w:val="81E48150"/>
    <w:lvl w:ilvl="0" w:tplc="3DB80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4561B50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8"/>
  </w:num>
  <w:num w:numId="5">
    <w:abstractNumId w:val="20"/>
  </w:num>
  <w:num w:numId="6">
    <w:abstractNumId w:val="19"/>
  </w:num>
  <w:num w:numId="7">
    <w:abstractNumId w:val="15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16"/>
  </w:num>
  <w:num w:numId="13">
    <w:abstractNumId w:val="14"/>
  </w:num>
  <w:num w:numId="14">
    <w:abstractNumId w:val="17"/>
  </w:num>
  <w:num w:numId="15">
    <w:abstractNumId w:val="0"/>
  </w:num>
  <w:num w:numId="16">
    <w:abstractNumId w:val="13"/>
  </w:num>
  <w:num w:numId="17">
    <w:abstractNumId w:val="12"/>
  </w:num>
  <w:num w:numId="18">
    <w:abstractNumId w:val="5"/>
  </w:num>
  <w:num w:numId="19">
    <w:abstractNumId w:val="9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B"/>
    <w:rsid w:val="000251DA"/>
    <w:rsid w:val="00033094"/>
    <w:rsid w:val="000E02CE"/>
    <w:rsid w:val="00324668"/>
    <w:rsid w:val="0032590E"/>
    <w:rsid w:val="00345898"/>
    <w:rsid w:val="003A1545"/>
    <w:rsid w:val="003B71B2"/>
    <w:rsid w:val="003E7918"/>
    <w:rsid w:val="003F3732"/>
    <w:rsid w:val="004561E2"/>
    <w:rsid w:val="004650FE"/>
    <w:rsid w:val="0049497B"/>
    <w:rsid w:val="00495F0C"/>
    <w:rsid w:val="0057603C"/>
    <w:rsid w:val="006368A9"/>
    <w:rsid w:val="006E1E28"/>
    <w:rsid w:val="00747669"/>
    <w:rsid w:val="00756374"/>
    <w:rsid w:val="007B75C7"/>
    <w:rsid w:val="007D25B8"/>
    <w:rsid w:val="008B0032"/>
    <w:rsid w:val="009D098B"/>
    <w:rsid w:val="009E4D4E"/>
    <w:rsid w:val="00A574F1"/>
    <w:rsid w:val="00B03DD6"/>
    <w:rsid w:val="00B3002D"/>
    <w:rsid w:val="00B607EE"/>
    <w:rsid w:val="00B7461D"/>
    <w:rsid w:val="00B929B1"/>
    <w:rsid w:val="00C20930"/>
    <w:rsid w:val="00C309A9"/>
    <w:rsid w:val="00C561D7"/>
    <w:rsid w:val="00CC2918"/>
    <w:rsid w:val="00CE34D2"/>
    <w:rsid w:val="00D01E99"/>
    <w:rsid w:val="00DC0ED6"/>
    <w:rsid w:val="00DD07B7"/>
    <w:rsid w:val="00E471A6"/>
    <w:rsid w:val="00E52AA4"/>
    <w:rsid w:val="00E660F1"/>
    <w:rsid w:val="00E94D37"/>
    <w:rsid w:val="00EB339D"/>
    <w:rsid w:val="00F2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7B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49497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49497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497B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49497B"/>
  </w:style>
  <w:style w:type="paragraph" w:styleId="Footer">
    <w:name w:val="footer"/>
    <w:basedOn w:val="Normal"/>
    <w:rsid w:val="004949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048F1"/>
    <w:rPr>
      <w:sz w:val="16"/>
      <w:szCs w:val="16"/>
    </w:rPr>
  </w:style>
  <w:style w:type="paragraph" w:styleId="CommentText">
    <w:name w:val="annotation text"/>
    <w:basedOn w:val="Normal"/>
    <w:semiHidden/>
    <w:rsid w:val="005048F1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48F1"/>
    <w:rPr>
      <w:b/>
      <w:bCs/>
    </w:rPr>
  </w:style>
  <w:style w:type="paragraph" w:customStyle="1" w:styleId="default">
    <w:name w:val="default"/>
    <w:basedOn w:val="Normal"/>
    <w:rsid w:val="004B148A"/>
    <w:pPr>
      <w:spacing w:before="100" w:beforeAutospacing="1" w:after="100" w:afterAutospacing="1"/>
    </w:pPr>
    <w:rPr>
      <w:color w:val="auto"/>
      <w:szCs w:val="24"/>
    </w:rPr>
  </w:style>
  <w:style w:type="paragraph" w:customStyle="1" w:styleId="Style2">
    <w:name w:val="Style 2"/>
    <w:basedOn w:val="Normal"/>
    <w:rsid w:val="005E7D54"/>
    <w:pPr>
      <w:widowControl w:val="0"/>
      <w:numPr>
        <w:numId w:val="14"/>
      </w:numPr>
      <w:tabs>
        <w:tab w:val="left" w:pos="357"/>
      </w:tabs>
      <w:spacing w:after="120" w:line="300" w:lineRule="atLeast"/>
    </w:pPr>
    <w:rPr>
      <w:color w:val="auto"/>
      <w:sz w:val="22"/>
      <w:lang w:eastAsia="en-US"/>
    </w:rPr>
  </w:style>
  <w:style w:type="paragraph" w:customStyle="1" w:styleId="bulletpoint">
    <w:name w:val="bullet point"/>
    <w:basedOn w:val="Style2"/>
    <w:link w:val="bulletpointChar"/>
    <w:rsid w:val="005E7D54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rsid w:val="005E7D54"/>
    <w:pPr>
      <w:numPr>
        <w:ilvl w:val="2"/>
      </w:numPr>
      <w:tabs>
        <w:tab w:val="clear" w:pos="357"/>
        <w:tab w:val="clear" w:pos="907"/>
        <w:tab w:val="num" w:pos="360"/>
        <w:tab w:val="num" w:pos="2160"/>
      </w:tabs>
      <w:ind w:left="2160" w:hanging="180"/>
      <w:outlineLvl w:val="2"/>
    </w:pPr>
  </w:style>
  <w:style w:type="character" w:customStyle="1" w:styleId="bulletpointChar">
    <w:name w:val="bullet point Char"/>
    <w:basedOn w:val="DefaultParagraphFont"/>
    <w:link w:val="bulletpoint"/>
    <w:rsid w:val="005E7D54"/>
    <w:rPr>
      <w:sz w:val="22"/>
      <w:lang w:val="en-AU" w:eastAsia="en-US" w:bidi="ar-SA"/>
    </w:rPr>
  </w:style>
  <w:style w:type="paragraph" w:styleId="DocumentMap">
    <w:name w:val="Document Map"/>
    <w:basedOn w:val="Normal"/>
    <w:semiHidden/>
    <w:rsid w:val="00F0174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COVERSHEET </vt:lpstr>
    </vt:vector>
  </TitlesOfParts>
  <Manager/>
  <Company/>
  <LinksUpToDate>false</LinksUpToDate>
  <CharactersWithSpaces>2178</CharactersWithSpaces>
  <SharedDoc>false</SharedDoc>
  <HyperlinkBase>https://www.cabinet.qld.gov.au/documents/2010/Apr/Floods and Cylone Ului/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 </dc:title>
  <dc:subject/>
  <dc:creator/>
  <cp:keywords>flood,cyclone,ului</cp:keywords>
  <cp:lastModifiedBy/>
  <cp:revision>2</cp:revision>
  <cp:lastPrinted>2010-05-05T00:54:00Z</cp:lastPrinted>
  <dcterms:created xsi:type="dcterms:W3CDTF">2017-10-24T22:18:00Z</dcterms:created>
  <dcterms:modified xsi:type="dcterms:W3CDTF">2018-03-06T01:00:00Z</dcterms:modified>
  <cp:category>Emergency_Services,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2057581791</vt:i4>
  </property>
  <property fmtid="{D5CDD505-2E9C-101B-9397-08002B2CF9AE}" pid="3" name="_PreviousAdHocReviewCycleID">
    <vt:i4>-390182456</vt:i4>
  </property>
  <property fmtid="{D5CDD505-2E9C-101B-9397-08002B2CF9AE}" pid="4" name="_ReviewingToolsShownOnce">
    <vt:lpwstr/>
  </property>
</Properties>
</file>